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76CE1" w14:textId="77777777" w:rsidR="00B13DA7" w:rsidRPr="00B13DA7" w:rsidRDefault="00B13DA7" w:rsidP="00B13DA7">
      <w:pPr>
        <w:jc w:val="center"/>
        <w:rPr>
          <w:rFonts w:ascii="Arial" w:hAnsi="Arial" w:cs="Arial"/>
          <w:sz w:val="24"/>
          <w:szCs w:val="24"/>
        </w:rPr>
      </w:pPr>
      <w:bookmarkStart w:id="0" w:name="_GoBack"/>
      <w:bookmarkEnd w:id="0"/>
      <w:r w:rsidRPr="00B13DA7">
        <w:rPr>
          <w:rFonts w:ascii="Arial" w:hAnsi="Arial" w:cs="Arial"/>
          <w:sz w:val="24"/>
          <w:szCs w:val="24"/>
        </w:rPr>
        <w:t>ARCH Disability Law Centre</w:t>
      </w:r>
    </w:p>
    <w:p w14:paraId="0AA8E509" w14:textId="77777777" w:rsidR="00B13DA7" w:rsidRPr="00B13DA7" w:rsidRDefault="00B13DA7" w:rsidP="00B13DA7">
      <w:pPr>
        <w:pStyle w:val="Heading1"/>
        <w:rPr>
          <w:b w:val="0"/>
          <w:u w:val="none"/>
        </w:rPr>
      </w:pPr>
      <w:r w:rsidRPr="00B13DA7">
        <w:rPr>
          <w:b w:val="0"/>
          <w:u w:val="none"/>
        </w:rPr>
        <w:t>By-Law No. 1</w:t>
      </w:r>
    </w:p>
    <w:p w14:paraId="0C67470A" w14:textId="77777777" w:rsidR="00B13DA7" w:rsidRPr="00C27C1C" w:rsidRDefault="00B13DA7" w:rsidP="00B13DA7">
      <w:pPr>
        <w:rPr>
          <w:rFonts w:ascii="Arial" w:hAnsi="Arial" w:cs="Arial"/>
          <w:sz w:val="24"/>
          <w:szCs w:val="24"/>
        </w:rPr>
      </w:pPr>
    </w:p>
    <w:p w14:paraId="711D0A05" w14:textId="77777777" w:rsidR="00B13DA7" w:rsidRPr="00C27C1C" w:rsidRDefault="00B13DA7" w:rsidP="00B13DA7">
      <w:pPr>
        <w:rPr>
          <w:rFonts w:ascii="Arial" w:hAnsi="Arial" w:cs="Arial"/>
          <w:sz w:val="24"/>
          <w:szCs w:val="24"/>
        </w:rPr>
      </w:pPr>
      <w:r w:rsidRPr="00C27C1C">
        <w:rPr>
          <w:rFonts w:ascii="Arial" w:hAnsi="Arial" w:cs="Arial"/>
          <w:sz w:val="24"/>
          <w:szCs w:val="24"/>
        </w:rPr>
        <w:t xml:space="preserve">Legend: </w:t>
      </w:r>
    </w:p>
    <w:p w14:paraId="02165549" w14:textId="77777777" w:rsidR="00B13DA7" w:rsidRPr="00C27C1C" w:rsidRDefault="00B13DA7" w:rsidP="00B13DA7">
      <w:pPr>
        <w:rPr>
          <w:rFonts w:ascii="Arial" w:hAnsi="Arial" w:cs="Arial"/>
          <w:sz w:val="24"/>
          <w:szCs w:val="24"/>
        </w:rPr>
      </w:pPr>
      <w:r w:rsidRPr="00C27C1C">
        <w:rPr>
          <w:rFonts w:ascii="Arial" w:hAnsi="Arial" w:cs="Arial"/>
          <w:sz w:val="24"/>
          <w:szCs w:val="24"/>
        </w:rPr>
        <w:t xml:space="preserve">Text with square brackets [  ] around it is the original text that is being removed. </w:t>
      </w:r>
    </w:p>
    <w:p w14:paraId="2DD2818D" w14:textId="77777777" w:rsidR="00B13DA7" w:rsidRPr="00C27C1C" w:rsidRDefault="00B13DA7" w:rsidP="00B13DA7">
      <w:pPr>
        <w:rPr>
          <w:rFonts w:ascii="Arial" w:hAnsi="Arial" w:cs="Arial"/>
          <w:sz w:val="24"/>
          <w:szCs w:val="24"/>
        </w:rPr>
      </w:pPr>
      <w:r w:rsidRPr="00C27C1C">
        <w:rPr>
          <w:rFonts w:ascii="Arial" w:hAnsi="Arial" w:cs="Arial"/>
          <w:sz w:val="24"/>
          <w:szCs w:val="24"/>
        </w:rPr>
        <w:t xml:space="preserve">Text with curly brackets { } around it is the suggested amended or added text. </w:t>
      </w:r>
    </w:p>
    <w:p w14:paraId="7FC0C242" w14:textId="77777777" w:rsidR="00B13DA7" w:rsidRPr="00C27C1C" w:rsidRDefault="00B13DA7" w:rsidP="00B13DA7">
      <w:pPr>
        <w:rPr>
          <w:rFonts w:ascii="Arial" w:hAnsi="Arial" w:cs="Arial"/>
          <w:sz w:val="24"/>
          <w:szCs w:val="24"/>
        </w:rPr>
      </w:pPr>
      <w:r w:rsidRPr="00C27C1C">
        <w:rPr>
          <w:rFonts w:ascii="Arial" w:hAnsi="Arial" w:cs="Arial"/>
          <w:sz w:val="24"/>
          <w:szCs w:val="24"/>
        </w:rPr>
        <w:t>Please change your punctuation settings so that these marks are spoken.</w:t>
      </w:r>
    </w:p>
    <w:p w14:paraId="20E94C20" w14:textId="77777777" w:rsidR="00B13DA7" w:rsidRPr="00C27C1C" w:rsidRDefault="00B13DA7" w:rsidP="00B13DA7">
      <w:pPr>
        <w:rPr>
          <w:rFonts w:ascii="Arial" w:hAnsi="Arial" w:cs="Arial"/>
          <w:sz w:val="24"/>
          <w:szCs w:val="24"/>
        </w:rPr>
      </w:pPr>
    </w:p>
    <w:p w14:paraId="311A1BB4" w14:textId="77777777" w:rsidR="00B13DA7" w:rsidRPr="00C27C1C" w:rsidRDefault="00B13DA7" w:rsidP="00B13DA7">
      <w:pPr>
        <w:rPr>
          <w:rFonts w:ascii="Arial" w:hAnsi="Arial" w:cs="Arial"/>
          <w:sz w:val="24"/>
          <w:szCs w:val="24"/>
        </w:rPr>
      </w:pPr>
    </w:p>
    <w:p w14:paraId="4593B9E6" w14:textId="77777777" w:rsidR="00C27C1C" w:rsidRPr="00C27C1C" w:rsidRDefault="00C27C1C" w:rsidP="00C27C1C">
      <w:pPr>
        <w:rPr>
          <w:rFonts w:ascii="Arial" w:hAnsi="Arial" w:cs="Arial"/>
          <w:sz w:val="24"/>
          <w:szCs w:val="24"/>
        </w:rPr>
      </w:pPr>
      <w:r w:rsidRPr="00C27C1C">
        <w:rPr>
          <w:rFonts w:ascii="Arial" w:hAnsi="Arial" w:cs="Arial"/>
          <w:sz w:val="24"/>
          <w:szCs w:val="24"/>
        </w:rPr>
        <w:t>A By-law relating generally to the organization and conduct of the affairs of ARCH Disability Law Centre.</w:t>
      </w:r>
    </w:p>
    <w:p w14:paraId="4F4F89FD" w14:textId="77777777" w:rsidR="00C27C1C" w:rsidRPr="00C27C1C" w:rsidRDefault="00C27C1C" w:rsidP="00C27C1C">
      <w:pPr>
        <w:rPr>
          <w:rFonts w:ascii="Arial" w:hAnsi="Arial" w:cs="Arial"/>
          <w:sz w:val="24"/>
          <w:szCs w:val="24"/>
        </w:rPr>
      </w:pPr>
    </w:p>
    <w:p w14:paraId="396D9C28" w14:textId="7072BF28" w:rsidR="00C27C1C" w:rsidRPr="00C27C1C" w:rsidRDefault="00C27C1C" w:rsidP="00C27C1C">
      <w:pPr>
        <w:rPr>
          <w:rFonts w:ascii="Arial" w:hAnsi="Arial" w:cs="Arial"/>
          <w:sz w:val="24"/>
          <w:szCs w:val="24"/>
        </w:rPr>
      </w:pPr>
      <w:r w:rsidRPr="00C27C1C">
        <w:rPr>
          <w:rFonts w:ascii="Arial" w:hAnsi="Arial" w:cs="Arial"/>
          <w:sz w:val="24"/>
          <w:szCs w:val="24"/>
        </w:rPr>
        <w:t xml:space="preserve">WHEREAS by Letters Patent dated, December 18, 1979 and amended by Supplementary Letters Patent on November 15, 2005, </w:t>
      </w:r>
      <w:r>
        <w:rPr>
          <w:rFonts w:ascii="Arial" w:hAnsi="Arial" w:cs="Arial"/>
          <w:sz w:val="24"/>
          <w:szCs w:val="24"/>
        </w:rPr>
        <w:t>{</w:t>
      </w:r>
      <w:r w:rsidRPr="00C27C1C">
        <w:rPr>
          <w:rFonts w:ascii="Arial" w:hAnsi="Arial" w:cs="Arial"/>
          <w:sz w:val="24"/>
          <w:szCs w:val="24"/>
        </w:rPr>
        <w:t xml:space="preserve">and updated to Articles of Incorporation as per the </w:t>
      </w:r>
      <w:r w:rsidRPr="00C27C1C">
        <w:rPr>
          <w:rFonts w:ascii="Arial" w:hAnsi="Arial" w:cs="Arial"/>
          <w:i/>
          <w:sz w:val="24"/>
          <w:szCs w:val="24"/>
        </w:rPr>
        <w:t>Ontario Not for Profit Corporations Act, 2021</w:t>
      </w:r>
      <w:r w:rsidRPr="00C27C1C">
        <w:rPr>
          <w:rFonts w:ascii="Arial" w:hAnsi="Arial" w:cs="Arial"/>
          <w:sz w:val="24"/>
          <w:szCs w:val="24"/>
        </w:rPr>
        <w:t xml:space="preserve"> (ONCA) on October 1</w:t>
      </w:r>
      <w:r w:rsidR="00AF4D3B">
        <w:rPr>
          <w:rFonts w:ascii="Arial" w:hAnsi="Arial" w:cs="Arial"/>
          <w:sz w:val="24"/>
          <w:szCs w:val="24"/>
        </w:rPr>
        <w:t>0</w:t>
      </w:r>
      <w:r w:rsidRPr="00C27C1C">
        <w:rPr>
          <w:rFonts w:ascii="Arial" w:hAnsi="Arial" w:cs="Arial"/>
          <w:sz w:val="24"/>
          <w:szCs w:val="24"/>
        </w:rPr>
        <w:t>, 2024,</w:t>
      </w:r>
      <w:r>
        <w:rPr>
          <w:rFonts w:ascii="Arial" w:hAnsi="Arial" w:cs="Arial"/>
          <w:sz w:val="24"/>
          <w:szCs w:val="24"/>
        </w:rPr>
        <w:t xml:space="preserve">} </w:t>
      </w:r>
      <w:r w:rsidRPr="00C27C1C">
        <w:rPr>
          <w:rFonts w:ascii="Arial" w:hAnsi="Arial" w:cs="Arial"/>
          <w:sz w:val="24"/>
          <w:szCs w:val="24"/>
        </w:rPr>
        <w:t>ARCH Disability Law Centre was incorporated;</w:t>
      </w:r>
    </w:p>
    <w:p w14:paraId="3D0C7DED" w14:textId="77777777" w:rsidR="00C27C1C" w:rsidRPr="00C27C1C" w:rsidRDefault="00C27C1C" w:rsidP="00C27C1C">
      <w:pPr>
        <w:rPr>
          <w:rFonts w:ascii="Arial" w:hAnsi="Arial" w:cs="Arial"/>
          <w:sz w:val="24"/>
          <w:szCs w:val="24"/>
        </w:rPr>
      </w:pPr>
    </w:p>
    <w:p w14:paraId="2347CD4F" w14:textId="77777777" w:rsidR="00C27C1C" w:rsidRPr="00C27C1C" w:rsidRDefault="00C27C1C" w:rsidP="00C27C1C">
      <w:pPr>
        <w:rPr>
          <w:rFonts w:ascii="Arial" w:hAnsi="Arial" w:cs="Arial"/>
          <w:sz w:val="24"/>
          <w:szCs w:val="24"/>
        </w:rPr>
      </w:pPr>
      <w:r w:rsidRPr="00C27C1C">
        <w:rPr>
          <w:rFonts w:ascii="Arial" w:hAnsi="Arial" w:cs="Arial"/>
          <w:sz w:val="24"/>
          <w:szCs w:val="24"/>
        </w:rPr>
        <w:t>BE IT ENACTED as a By-law of ARCH Disability Law Centre (hereinafter called the "Centre") as follows:</w:t>
      </w:r>
    </w:p>
    <w:p w14:paraId="149C0BDF" w14:textId="77777777" w:rsidR="00C27C1C" w:rsidRPr="00C27C1C" w:rsidRDefault="00C27C1C" w:rsidP="00C27C1C">
      <w:pPr>
        <w:pStyle w:val="Heading2"/>
      </w:pPr>
      <w:r w:rsidRPr="00C27C1C">
        <w:t>2.</w:t>
      </w:r>
      <w:r w:rsidRPr="00C27C1C">
        <w:tab/>
        <w:t>TERRITORIAL JURISDICTION</w:t>
      </w:r>
    </w:p>
    <w:p w14:paraId="41801805" w14:textId="78DE1A18" w:rsidR="00C27C1C" w:rsidRPr="00C27C1C" w:rsidRDefault="00C27C1C" w:rsidP="00C27C1C">
      <w:pPr>
        <w:ind w:left="720"/>
        <w:rPr>
          <w:rFonts w:ascii="Arial" w:hAnsi="Arial" w:cs="Arial"/>
          <w:sz w:val="24"/>
          <w:szCs w:val="24"/>
        </w:rPr>
      </w:pPr>
      <w:r w:rsidRPr="00C27C1C">
        <w:rPr>
          <w:rFonts w:ascii="Arial" w:hAnsi="Arial" w:cs="Arial"/>
          <w:sz w:val="24"/>
          <w:szCs w:val="24"/>
        </w:rPr>
        <w:t>The Centre shall have jurisdiction in the Province of Ontario under the authority of its</w:t>
      </w:r>
      <w:r w:rsidR="00815C06">
        <w:rPr>
          <w:rFonts w:ascii="Arial" w:hAnsi="Arial" w:cs="Arial"/>
          <w:sz w:val="24"/>
          <w:szCs w:val="24"/>
        </w:rPr>
        <w:t xml:space="preserve"> {</w:t>
      </w:r>
      <w:r w:rsidR="00815C06" w:rsidRPr="00815C06">
        <w:rPr>
          <w:rFonts w:ascii="Arial" w:hAnsi="Arial" w:cs="Arial"/>
          <w:sz w:val="24"/>
          <w:szCs w:val="24"/>
        </w:rPr>
        <w:t>Articles of Incorporation</w:t>
      </w:r>
      <w:r w:rsidR="00815C06">
        <w:rPr>
          <w:rFonts w:ascii="Arial" w:hAnsi="Arial" w:cs="Arial"/>
          <w:sz w:val="24"/>
          <w:szCs w:val="24"/>
        </w:rPr>
        <w:t>} [</w:t>
      </w:r>
      <w:r w:rsidR="00815C06" w:rsidRPr="00815C06">
        <w:rPr>
          <w:rFonts w:ascii="Arial" w:hAnsi="Arial" w:cs="Arial"/>
          <w:sz w:val="24"/>
          <w:szCs w:val="24"/>
        </w:rPr>
        <w:t>Letters Patent</w:t>
      </w:r>
      <w:r w:rsidR="00815C06">
        <w:rPr>
          <w:rFonts w:ascii="Arial" w:hAnsi="Arial" w:cs="Arial"/>
          <w:sz w:val="24"/>
          <w:szCs w:val="24"/>
        </w:rPr>
        <w:t>]</w:t>
      </w:r>
      <w:r w:rsidRPr="00C27C1C">
        <w:rPr>
          <w:rFonts w:ascii="Arial" w:hAnsi="Arial" w:cs="Arial"/>
          <w:sz w:val="24"/>
          <w:szCs w:val="24"/>
        </w:rPr>
        <w:t>.</w:t>
      </w:r>
    </w:p>
    <w:p w14:paraId="6A263F85" w14:textId="77777777" w:rsidR="00C27C1C" w:rsidRPr="00C27C1C" w:rsidRDefault="00C27C1C" w:rsidP="00C27C1C">
      <w:pPr>
        <w:pStyle w:val="Heading2"/>
      </w:pPr>
      <w:r w:rsidRPr="00C27C1C">
        <w:t>8.</w:t>
      </w:r>
      <w:r w:rsidRPr="00C27C1C">
        <w:tab/>
        <w:t xml:space="preserve">DIRECTORS </w:t>
      </w:r>
    </w:p>
    <w:p w14:paraId="585FCB00" w14:textId="77777777" w:rsidR="00C27C1C" w:rsidRPr="00C27C1C" w:rsidRDefault="00C27C1C" w:rsidP="00C27C1C">
      <w:pPr>
        <w:pStyle w:val="Heading3"/>
        <w:rPr>
          <w:rFonts w:eastAsia="Calibri"/>
        </w:rPr>
      </w:pPr>
      <w:r w:rsidRPr="00C27C1C">
        <w:t>8.01</w:t>
      </w:r>
      <w:r w:rsidRPr="00C27C1C">
        <w:tab/>
        <w:t>Board of Directors</w:t>
      </w:r>
    </w:p>
    <w:p w14:paraId="6DFB983D" w14:textId="77777777" w:rsidR="00C27C1C" w:rsidRPr="00C27C1C" w:rsidRDefault="00C27C1C" w:rsidP="00C27C1C">
      <w:pPr>
        <w:ind w:left="720"/>
        <w:rPr>
          <w:rFonts w:ascii="Arial" w:eastAsia="Calibri" w:hAnsi="Arial" w:cs="Arial"/>
          <w:sz w:val="24"/>
          <w:szCs w:val="24"/>
        </w:rPr>
      </w:pPr>
      <w:r w:rsidRPr="00C27C1C">
        <w:rPr>
          <w:rFonts w:ascii="Arial" w:eastAsia="Calibri" w:hAnsi="Arial" w:cs="Arial"/>
          <w:sz w:val="24"/>
          <w:szCs w:val="24"/>
        </w:rPr>
        <w:t>The affairs of the Centre shall be governed by a Board of Directors comprised of fifteen (15) Directors elected by the members of the Centre.  The majority of Directors shall be persons with disabilities.</w:t>
      </w:r>
    </w:p>
    <w:p w14:paraId="680C42CF" w14:textId="77777777" w:rsidR="00C27C1C" w:rsidRPr="00C27C1C" w:rsidRDefault="00C27C1C" w:rsidP="00C27C1C">
      <w:pPr>
        <w:pStyle w:val="Heading3"/>
        <w:rPr>
          <w:rFonts w:eastAsia="Calibri"/>
        </w:rPr>
      </w:pPr>
      <w:r w:rsidRPr="00C27C1C">
        <w:rPr>
          <w:rFonts w:eastAsia="Calibri"/>
        </w:rPr>
        <w:t> 8.02</w:t>
      </w:r>
      <w:r w:rsidRPr="00C27C1C">
        <w:rPr>
          <w:rFonts w:eastAsia="Calibri"/>
        </w:rPr>
        <w:tab/>
        <w:t>Eligibility</w:t>
      </w:r>
    </w:p>
    <w:p w14:paraId="396BF9B5" w14:textId="77777777" w:rsidR="00C27C1C" w:rsidRPr="00C27C1C" w:rsidRDefault="00C27C1C" w:rsidP="00C27C1C">
      <w:pPr>
        <w:ind w:left="720"/>
        <w:rPr>
          <w:rFonts w:ascii="Arial" w:eastAsia="Calibri" w:hAnsi="Arial" w:cs="Arial"/>
          <w:sz w:val="24"/>
          <w:szCs w:val="24"/>
        </w:rPr>
      </w:pPr>
      <w:r w:rsidRPr="00C27C1C">
        <w:rPr>
          <w:rFonts w:ascii="Arial" w:eastAsia="Calibri" w:hAnsi="Arial" w:cs="Arial"/>
          <w:sz w:val="24"/>
          <w:szCs w:val="24"/>
        </w:rPr>
        <w:t>Any person is eligible to be a Director of the Centre who:</w:t>
      </w:r>
    </w:p>
    <w:p w14:paraId="7E576DEA" w14:textId="77777777" w:rsidR="00C27C1C" w:rsidRPr="00C27C1C" w:rsidRDefault="00C27C1C" w:rsidP="00C27C1C">
      <w:pPr>
        <w:ind w:left="720"/>
        <w:rPr>
          <w:rFonts w:ascii="Arial" w:eastAsia="Calibri" w:hAnsi="Arial" w:cs="Arial"/>
          <w:sz w:val="24"/>
          <w:szCs w:val="24"/>
        </w:rPr>
      </w:pPr>
    </w:p>
    <w:p w14:paraId="7B20B00D" w14:textId="77777777" w:rsidR="00C27C1C" w:rsidRPr="00C27C1C" w:rsidRDefault="00C27C1C" w:rsidP="00C27C1C">
      <w:pPr>
        <w:pStyle w:val="ListParagraph"/>
        <w:numPr>
          <w:ilvl w:val="0"/>
          <w:numId w:val="1"/>
        </w:numPr>
        <w:ind w:left="1440" w:hanging="720"/>
        <w:contextualSpacing w:val="0"/>
        <w:rPr>
          <w:rFonts w:ascii="Arial" w:eastAsia="Calibri" w:hAnsi="Arial" w:cs="Arial"/>
          <w:sz w:val="24"/>
          <w:szCs w:val="24"/>
        </w:rPr>
      </w:pPr>
      <w:r w:rsidRPr="00C27C1C">
        <w:rPr>
          <w:rFonts w:ascii="Arial" w:eastAsia="Calibri" w:hAnsi="Arial" w:cs="Arial"/>
          <w:sz w:val="24"/>
          <w:szCs w:val="24"/>
        </w:rPr>
        <w:t>is a member of the Centre; and</w:t>
      </w:r>
    </w:p>
    <w:p w14:paraId="300EE147" w14:textId="77777777" w:rsidR="00C27C1C" w:rsidRPr="00C27C1C" w:rsidRDefault="00C27C1C" w:rsidP="00C27C1C">
      <w:pPr>
        <w:pStyle w:val="ListParagraph"/>
        <w:numPr>
          <w:ilvl w:val="0"/>
          <w:numId w:val="1"/>
        </w:numPr>
        <w:ind w:left="1440" w:hanging="720"/>
        <w:contextualSpacing w:val="0"/>
        <w:rPr>
          <w:rFonts w:ascii="Arial" w:eastAsia="Calibri" w:hAnsi="Arial" w:cs="Arial"/>
          <w:sz w:val="24"/>
          <w:szCs w:val="24"/>
        </w:rPr>
      </w:pPr>
      <w:r w:rsidRPr="00C27C1C">
        <w:rPr>
          <w:rFonts w:ascii="Arial" w:eastAsia="Calibri" w:hAnsi="Arial" w:cs="Arial"/>
          <w:sz w:val="24"/>
          <w:szCs w:val="24"/>
        </w:rPr>
        <w:t>is not a current employee of the Centre and has not been an employee of the Centre at any time during the last three (3) years; and</w:t>
      </w:r>
    </w:p>
    <w:p w14:paraId="45E532B1" w14:textId="77777777" w:rsidR="00C27C1C" w:rsidRPr="00C27C1C" w:rsidRDefault="00C27C1C" w:rsidP="00C27C1C">
      <w:pPr>
        <w:pStyle w:val="ListParagraph"/>
        <w:numPr>
          <w:ilvl w:val="0"/>
          <w:numId w:val="1"/>
        </w:numPr>
        <w:ind w:left="1440" w:hanging="720"/>
        <w:contextualSpacing w:val="0"/>
        <w:rPr>
          <w:rFonts w:ascii="Arial" w:eastAsia="Calibri" w:hAnsi="Arial" w:cs="Arial"/>
          <w:sz w:val="24"/>
          <w:szCs w:val="24"/>
        </w:rPr>
      </w:pPr>
      <w:r w:rsidRPr="00C27C1C">
        <w:rPr>
          <w:rFonts w:ascii="Arial" w:eastAsia="Calibri" w:hAnsi="Arial" w:cs="Arial"/>
          <w:sz w:val="24"/>
          <w:szCs w:val="24"/>
        </w:rPr>
        <w:t>is not a current client; and</w:t>
      </w:r>
    </w:p>
    <w:p w14:paraId="04D6783C" w14:textId="77777777" w:rsidR="00C27C1C" w:rsidRPr="00C27C1C" w:rsidRDefault="00C27C1C" w:rsidP="00C27C1C">
      <w:pPr>
        <w:pStyle w:val="ListParagraph"/>
        <w:numPr>
          <w:ilvl w:val="0"/>
          <w:numId w:val="1"/>
        </w:numPr>
        <w:ind w:left="1440" w:hanging="720"/>
        <w:contextualSpacing w:val="0"/>
        <w:rPr>
          <w:rFonts w:ascii="Arial" w:eastAsia="Calibri" w:hAnsi="Arial" w:cs="Arial"/>
          <w:sz w:val="24"/>
          <w:szCs w:val="24"/>
        </w:rPr>
      </w:pPr>
      <w:r w:rsidRPr="00C27C1C">
        <w:rPr>
          <w:rFonts w:ascii="Arial" w:eastAsia="Calibri" w:hAnsi="Arial" w:cs="Arial"/>
          <w:sz w:val="24"/>
          <w:szCs w:val="24"/>
        </w:rPr>
        <w:t>is not a family member of:</w:t>
      </w:r>
    </w:p>
    <w:p w14:paraId="32CF57A9" w14:textId="77777777" w:rsidR="00C27C1C" w:rsidRPr="00C27C1C" w:rsidRDefault="00C27C1C" w:rsidP="00C27C1C">
      <w:pPr>
        <w:pStyle w:val="ListParagraph"/>
        <w:ind w:left="1440"/>
        <w:contextualSpacing w:val="0"/>
        <w:rPr>
          <w:rFonts w:ascii="Arial" w:eastAsia="Calibri" w:hAnsi="Arial" w:cs="Arial"/>
          <w:sz w:val="24"/>
          <w:szCs w:val="24"/>
        </w:rPr>
      </w:pPr>
      <w:r w:rsidRPr="00C27C1C">
        <w:rPr>
          <w:rFonts w:ascii="Arial" w:eastAsia="Calibri" w:hAnsi="Arial" w:cs="Arial"/>
          <w:sz w:val="24"/>
          <w:szCs w:val="24"/>
        </w:rPr>
        <w:t>(</w:t>
      </w:r>
      <w:proofErr w:type="spellStart"/>
      <w:r w:rsidRPr="00C27C1C">
        <w:rPr>
          <w:rFonts w:ascii="Arial" w:eastAsia="Calibri" w:hAnsi="Arial" w:cs="Arial"/>
          <w:sz w:val="24"/>
          <w:szCs w:val="24"/>
        </w:rPr>
        <w:t>i</w:t>
      </w:r>
      <w:proofErr w:type="spellEnd"/>
      <w:r w:rsidRPr="00C27C1C">
        <w:rPr>
          <w:rFonts w:ascii="Arial" w:eastAsia="Calibri" w:hAnsi="Arial" w:cs="Arial"/>
          <w:sz w:val="24"/>
          <w:szCs w:val="24"/>
        </w:rPr>
        <w:t>) current employee; or</w:t>
      </w:r>
    </w:p>
    <w:p w14:paraId="5762BB45" w14:textId="77777777" w:rsidR="00C27C1C" w:rsidRPr="00C27C1C" w:rsidRDefault="00C27C1C" w:rsidP="00C27C1C">
      <w:pPr>
        <w:ind w:left="720" w:firstLine="720"/>
        <w:rPr>
          <w:rFonts w:ascii="Arial" w:eastAsia="Calibri" w:hAnsi="Arial" w:cs="Arial"/>
          <w:sz w:val="24"/>
          <w:szCs w:val="24"/>
        </w:rPr>
      </w:pPr>
      <w:r w:rsidRPr="00C27C1C">
        <w:rPr>
          <w:rFonts w:ascii="Arial" w:eastAsia="Calibri" w:hAnsi="Arial" w:cs="Arial"/>
          <w:sz w:val="24"/>
          <w:szCs w:val="24"/>
        </w:rPr>
        <w:t>(ii) a current client; or</w:t>
      </w:r>
    </w:p>
    <w:p w14:paraId="68BA8F61" w14:textId="77777777" w:rsidR="00E62BA0" w:rsidRDefault="00C27C1C" w:rsidP="00E62BA0">
      <w:pPr>
        <w:ind w:left="720" w:firstLine="720"/>
        <w:rPr>
          <w:rFonts w:ascii="Arial" w:eastAsia="Calibri" w:hAnsi="Arial" w:cs="Arial"/>
          <w:sz w:val="24"/>
          <w:szCs w:val="24"/>
        </w:rPr>
      </w:pPr>
      <w:r w:rsidRPr="00C27C1C">
        <w:rPr>
          <w:rFonts w:ascii="Arial" w:eastAsia="Calibri" w:hAnsi="Arial" w:cs="Arial"/>
          <w:sz w:val="24"/>
          <w:szCs w:val="24"/>
        </w:rPr>
        <w:t xml:space="preserve">(iii) a current Board member, and </w:t>
      </w:r>
    </w:p>
    <w:p w14:paraId="6870E8D3" w14:textId="77777777" w:rsidR="00E62BA0" w:rsidRDefault="00E62BA0" w:rsidP="00E62BA0">
      <w:pPr>
        <w:pStyle w:val="ListParagraph"/>
        <w:ind w:left="1800"/>
        <w:rPr>
          <w:rFonts w:ascii="Arial" w:eastAsia="Calibri" w:hAnsi="Arial" w:cs="Arial"/>
          <w:sz w:val="24"/>
          <w:szCs w:val="24"/>
        </w:rPr>
      </w:pPr>
    </w:p>
    <w:p w14:paraId="1D7B017D" w14:textId="32AB4C62" w:rsidR="00E62BA0" w:rsidRPr="00E62BA0" w:rsidRDefault="00E62BA0" w:rsidP="00E62BA0">
      <w:pPr>
        <w:pStyle w:val="ListParagraph"/>
        <w:numPr>
          <w:ilvl w:val="0"/>
          <w:numId w:val="1"/>
        </w:numPr>
        <w:ind w:left="1440" w:hanging="720"/>
        <w:rPr>
          <w:rFonts w:ascii="Arial" w:eastAsia="Calibri" w:hAnsi="Arial" w:cs="Arial"/>
          <w:sz w:val="24"/>
          <w:szCs w:val="24"/>
        </w:rPr>
      </w:pPr>
      <w:r w:rsidRPr="00E62BA0">
        <w:rPr>
          <w:rFonts w:ascii="Arial" w:eastAsia="Calibri" w:hAnsi="Arial" w:cs="Arial"/>
          <w:sz w:val="24"/>
          <w:szCs w:val="24"/>
        </w:rPr>
        <w:t>is not a current employee of another community legal clinic [and has not been an employee of another community legal clinic at any time during the last three (3) years</w:t>
      </w:r>
      <w:r>
        <w:rPr>
          <w:rFonts w:ascii="Arial" w:eastAsia="Calibri" w:hAnsi="Arial" w:cs="Arial"/>
          <w:sz w:val="24"/>
          <w:szCs w:val="24"/>
        </w:rPr>
        <w:t xml:space="preserve">] </w:t>
      </w:r>
      <w:r w:rsidRPr="00E62BA0">
        <w:rPr>
          <w:rFonts w:ascii="Arial" w:eastAsia="Calibri" w:hAnsi="Arial" w:cs="Arial"/>
          <w:sz w:val="24"/>
          <w:szCs w:val="24"/>
        </w:rPr>
        <w:t>and</w:t>
      </w:r>
    </w:p>
    <w:p w14:paraId="566BD1B2" w14:textId="0337E0E9" w:rsidR="00C27C1C" w:rsidRPr="00C27C1C" w:rsidRDefault="00C27C1C" w:rsidP="00C27C1C">
      <w:pPr>
        <w:pStyle w:val="ListParagraph"/>
        <w:numPr>
          <w:ilvl w:val="0"/>
          <w:numId w:val="1"/>
        </w:numPr>
        <w:ind w:left="1440" w:hanging="720"/>
        <w:contextualSpacing w:val="0"/>
        <w:rPr>
          <w:rFonts w:ascii="Arial" w:eastAsia="Calibri" w:hAnsi="Arial" w:cs="Arial"/>
          <w:sz w:val="24"/>
          <w:szCs w:val="24"/>
        </w:rPr>
      </w:pPr>
      <w:r w:rsidRPr="00C27C1C">
        <w:rPr>
          <w:rFonts w:ascii="Arial" w:eastAsia="Calibri" w:hAnsi="Arial" w:cs="Arial"/>
          <w:sz w:val="24"/>
          <w:szCs w:val="24"/>
        </w:rPr>
        <w:t xml:space="preserve">is legally competent to conduct business and enter contracts under the </w:t>
      </w:r>
      <w:r w:rsidRPr="00C27C1C">
        <w:rPr>
          <w:rFonts w:ascii="Arial" w:eastAsia="Calibri" w:hAnsi="Arial" w:cs="Arial"/>
          <w:sz w:val="24"/>
          <w:szCs w:val="24"/>
        </w:rPr>
        <w:lastRenderedPageBreak/>
        <w:t>laws of Canada and its provinces.</w:t>
      </w:r>
    </w:p>
    <w:p w14:paraId="015877DA" w14:textId="77777777" w:rsidR="00C27C1C" w:rsidRPr="00C27C1C" w:rsidRDefault="00C27C1C" w:rsidP="00C27C1C">
      <w:pPr>
        <w:pStyle w:val="Heading3"/>
      </w:pPr>
      <w:r w:rsidRPr="00C27C1C">
        <w:t>9.06</w:t>
      </w:r>
      <w:r w:rsidRPr="00C27C1C">
        <w:tab/>
        <w:t>Borrowing Power</w:t>
      </w:r>
    </w:p>
    <w:p w14:paraId="39FAA609" w14:textId="5BC73CCA" w:rsidR="00C27C1C" w:rsidRPr="00C27C1C" w:rsidRDefault="00C27C1C" w:rsidP="00C27C1C">
      <w:pPr>
        <w:ind w:left="720"/>
        <w:rPr>
          <w:rFonts w:ascii="Arial" w:hAnsi="Arial" w:cs="Arial"/>
          <w:sz w:val="24"/>
          <w:szCs w:val="24"/>
        </w:rPr>
      </w:pPr>
      <w:r w:rsidRPr="00C27C1C">
        <w:rPr>
          <w:rFonts w:ascii="Arial" w:hAnsi="Arial" w:cs="Arial"/>
          <w:sz w:val="24"/>
          <w:szCs w:val="24"/>
        </w:rPr>
        <w:t>Without limiting the borrowing powers of the Centre as set forth in the Act, but subject to</w:t>
      </w:r>
      <w:r w:rsidR="00A035D0">
        <w:rPr>
          <w:rFonts w:ascii="Arial" w:hAnsi="Arial" w:cs="Arial"/>
          <w:sz w:val="24"/>
          <w:szCs w:val="24"/>
        </w:rPr>
        <w:t xml:space="preserve"> [</w:t>
      </w:r>
      <w:r w:rsidR="00A035D0" w:rsidRPr="00A035D0">
        <w:rPr>
          <w:rFonts w:ascii="Arial" w:hAnsi="Arial" w:cs="Arial"/>
          <w:sz w:val="24"/>
          <w:szCs w:val="24"/>
        </w:rPr>
        <w:t>the letters patent</w:t>
      </w:r>
      <w:r w:rsidR="00A035D0">
        <w:rPr>
          <w:rFonts w:ascii="Arial" w:hAnsi="Arial" w:cs="Arial"/>
          <w:sz w:val="24"/>
          <w:szCs w:val="24"/>
        </w:rPr>
        <w:t>] {</w:t>
      </w:r>
      <w:r w:rsidR="00A035D0" w:rsidRPr="00A035D0">
        <w:t xml:space="preserve"> </w:t>
      </w:r>
      <w:r w:rsidR="00A035D0" w:rsidRPr="00A035D0">
        <w:rPr>
          <w:rFonts w:ascii="Arial" w:hAnsi="Arial" w:cs="Arial"/>
          <w:sz w:val="24"/>
          <w:szCs w:val="24"/>
        </w:rPr>
        <w:t>the Articles of Incorporation</w:t>
      </w:r>
      <w:r w:rsidR="00A035D0">
        <w:rPr>
          <w:rFonts w:ascii="Arial" w:hAnsi="Arial" w:cs="Arial"/>
          <w:sz w:val="24"/>
          <w:szCs w:val="24"/>
        </w:rPr>
        <w:t>}</w:t>
      </w:r>
      <w:r w:rsidRPr="00C27C1C">
        <w:rPr>
          <w:rFonts w:ascii="Arial" w:hAnsi="Arial" w:cs="Arial"/>
          <w:sz w:val="24"/>
          <w:szCs w:val="24"/>
        </w:rPr>
        <w:t>, the Board may from time to time on behalf of the Centre, without authorization from the members:</w:t>
      </w:r>
    </w:p>
    <w:p w14:paraId="5FC077D1" w14:textId="77777777" w:rsidR="00C27C1C" w:rsidRPr="00C27C1C" w:rsidRDefault="00C27C1C" w:rsidP="00C27C1C">
      <w:pPr>
        <w:ind w:left="720"/>
        <w:rPr>
          <w:rFonts w:ascii="Arial" w:hAnsi="Arial" w:cs="Arial"/>
          <w:sz w:val="24"/>
          <w:szCs w:val="24"/>
        </w:rPr>
      </w:pPr>
    </w:p>
    <w:p w14:paraId="75C17C57" w14:textId="77777777" w:rsidR="00C27C1C" w:rsidRPr="00C27C1C" w:rsidRDefault="00C27C1C" w:rsidP="00C27C1C">
      <w:pPr>
        <w:pStyle w:val="ListParagraph"/>
        <w:numPr>
          <w:ilvl w:val="0"/>
          <w:numId w:val="2"/>
        </w:numPr>
        <w:ind w:left="1276" w:hanging="567"/>
        <w:rPr>
          <w:rFonts w:ascii="Arial" w:hAnsi="Arial" w:cs="Arial"/>
          <w:sz w:val="24"/>
          <w:szCs w:val="24"/>
        </w:rPr>
      </w:pPr>
      <w:r w:rsidRPr="00C27C1C">
        <w:rPr>
          <w:rFonts w:ascii="Arial" w:hAnsi="Arial" w:cs="Arial"/>
          <w:sz w:val="24"/>
          <w:szCs w:val="24"/>
        </w:rPr>
        <w:t>borrow money upon the credit of the Centre;</w:t>
      </w:r>
    </w:p>
    <w:p w14:paraId="1ACC19A2" w14:textId="77777777" w:rsidR="00C27C1C" w:rsidRPr="00C27C1C" w:rsidRDefault="00C27C1C" w:rsidP="00C27C1C">
      <w:pPr>
        <w:pStyle w:val="ListParagraph"/>
        <w:numPr>
          <w:ilvl w:val="0"/>
          <w:numId w:val="2"/>
        </w:numPr>
        <w:ind w:left="1276" w:hanging="567"/>
        <w:rPr>
          <w:rFonts w:ascii="Arial" w:hAnsi="Arial" w:cs="Arial"/>
          <w:sz w:val="24"/>
          <w:szCs w:val="24"/>
        </w:rPr>
      </w:pPr>
      <w:r w:rsidRPr="00C27C1C">
        <w:rPr>
          <w:rFonts w:ascii="Arial" w:hAnsi="Arial" w:cs="Arial"/>
          <w:sz w:val="24"/>
          <w:szCs w:val="24"/>
        </w:rPr>
        <w:t>issue, reissue, sell or pledge bonds, debentures, notes or other evidence of   indebtedness, or guarantee of the Centre, whether secured or unsecured;</w:t>
      </w:r>
    </w:p>
    <w:p w14:paraId="2300116D" w14:textId="77777777" w:rsidR="00C27C1C" w:rsidRPr="00C27C1C" w:rsidRDefault="00C27C1C" w:rsidP="00C27C1C">
      <w:pPr>
        <w:pStyle w:val="ListParagraph"/>
        <w:numPr>
          <w:ilvl w:val="0"/>
          <w:numId w:val="2"/>
        </w:numPr>
        <w:ind w:left="1276" w:hanging="567"/>
        <w:rPr>
          <w:rFonts w:ascii="Arial" w:hAnsi="Arial" w:cs="Arial"/>
          <w:sz w:val="24"/>
          <w:szCs w:val="24"/>
        </w:rPr>
      </w:pPr>
      <w:r w:rsidRPr="00C27C1C">
        <w:rPr>
          <w:rFonts w:ascii="Arial" w:hAnsi="Arial" w:cs="Arial"/>
          <w:sz w:val="24"/>
          <w:szCs w:val="24"/>
        </w:rPr>
        <w:t>to the extent permitted by the Act, give directly or indirectly financial assistance to any persons by means of a loan, guarantee or otherwise on behalf of the Centre to secure performance of any present or future indebtedness, liability or obligation of any person; and</w:t>
      </w:r>
    </w:p>
    <w:p w14:paraId="54A95791" w14:textId="77777777" w:rsidR="00C27C1C" w:rsidRPr="00C27C1C" w:rsidRDefault="00C27C1C" w:rsidP="00C27C1C">
      <w:pPr>
        <w:pStyle w:val="ListParagraph"/>
        <w:numPr>
          <w:ilvl w:val="0"/>
          <w:numId w:val="2"/>
        </w:numPr>
        <w:ind w:left="1276" w:hanging="567"/>
        <w:rPr>
          <w:rFonts w:ascii="Arial" w:hAnsi="Arial" w:cs="Arial"/>
          <w:sz w:val="24"/>
          <w:szCs w:val="24"/>
        </w:rPr>
      </w:pPr>
      <w:r w:rsidRPr="00C27C1C">
        <w:rPr>
          <w:rFonts w:ascii="Arial" w:hAnsi="Arial" w:cs="Arial"/>
          <w:sz w:val="24"/>
          <w:szCs w:val="24"/>
        </w:rPr>
        <w:t>create a security interest in any property of the Centre to secure any of the Centre.</w:t>
      </w:r>
    </w:p>
    <w:p w14:paraId="7F912EC3" w14:textId="77777777" w:rsidR="00C27C1C" w:rsidRPr="00C27C1C" w:rsidRDefault="00C27C1C" w:rsidP="00C27C1C">
      <w:pPr>
        <w:ind w:left="720"/>
        <w:rPr>
          <w:rFonts w:ascii="Arial" w:hAnsi="Arial" w:cs="Arial"/>
          <w:sz w:val="24"/>
          <w:szCs w:val="24"/>
        </w:rPr>
      </w:pPr>
    </w:p>
    <w:p w14:paraId="7FBBEDEA" w14:textId="77777777" w:rsidR="00C27C1C" w:rsidRPr="00C27C1C" w:rsidRDefault="00C27C1C" w:rsidP="00C27C1C">
      <w:pPr>
        <w:ind w:left="720"/>
        <w:rPr>
          <w:rFonts w:ascii="Arial" w:hAnsi="Arial" w:cs="Arial"/>
          <w:sz w:val="24"/>
          <w:szCs w:val="24"/>
        </w:rPr>
      </w:pPr>
      <w:r w:rsidRPr="00C27C1C">
        <w:rPr>
          <w:rFonts w:ascii="Arial" w:hAnsi="Arial" w:cs="Arial"/>
          <w:sz w:val="24"/>
          <w:szCs w:val="24"/>
        </w:rPr>
        <w:t>Provided that its borrowing shall be limited to borrowing money for current operating expenses, provided that the borrowing power shall not be so limited if it borrows money on the full security of real or personal property.</w:t>
      </w:r>
    </w:p>
    <w:p w14:paraId="67A32C9B" w14:textId="77777777" w:rsidR="00C27C1C" w:rsidRPr="00C27C1C" w:rsidRDefault="00C27C1C" w:rsidP="00C27C1C">
      <w:pPr>
        <w:ind w:left="720"/>
        <w:rPr>
          <w:rFonts w:ascii="Arial" w:hAnsi="Arial" w:cs="Arial"/>
          <w:sz w:val="24"/>
          <w:szCs w:val="24"/>
        </w:rPr>
      </w:pPr>
    </w:p>
    <w:p w14:paraId="79F32739" w14:textId="77777777" w:rsidR="00C27C1C" w:rsidRPr="00C27C1C" w:rsidRDefault="00C27C1C" w:rsidP="00C27C1C">
      <w:pPr>
        <w:ind w:left="720"/>
        <w:rPr>
          <w:rFonts w:ascii="Arial" w:hAnsi="Arial" w:cs="Arial"/>
          <w:sz w:val="24"/>
          <w:szCs w:val="24"/>
        </w:rPr>
      </w:pPr>
      <w:r w:rsidRPr="00C27C1C">
        <w:rPr>
          <w:rFonts w:ascii="Arial" w:hAnsi="Arial" w:cs="Arial"/>
          <w:sz w:val="24"/>
          <w:szCs w:val="24"/>
        </w:rPr>
        <w:t>Nothing in this section limits or restricts the borrowing of money by the Centre on bills of exchange or promissory notes made, drawn and accepted or endorsed on by or on behalf of the Centre.</w:t>
      </w:r>
    </w:p>
    <w:p w14:paraId="0034ABA6" w14:textId="6943D735" w:rsidR="00C27C1C" w:rsidRPr="00C27C1C" w:rsidRDefault="00C27C1C" w:rsidP="00C27C1C">
      <w:pPr>
        <w:pStyle w:val="Heading3"/>
      </w:pPr>
      <w:r w:rsidRPr="00C27C1C">
        <w:t>12.03</w:t>
      </w:r>
      <w:r w:rsidR="00A035D0">
        <w:t xml:space="preserve"> {Governance} [By-Law and Policy] </w:t>
      </w:r>
      <w:r w:rsidRPr="00C27C1C">
        <w:t>Committee</w:t>
      </w:r>
    </w:p>
    <w:p w14:paraId="1CF15013" w14:textId="1BB50EFF" w:rsidR="005F2D4A" w:rsidRDefault="005F2D4A" w:rsidP="005F2D4A">
      <w:pPr>
        <w:pStyle w:val="Heading2"/>
        <w:ind w:left="720"/>
        <w:rPr>
          <w:b w:val="0"/>
        </w:rPr>
      </w:pPr>
      <w:r w:rsidRPr="005F2D4A">
        <w:rPr>
          <w:b w:val="0"/>
        </w:rPr>
        <w:t xml:space="preserve">The {Governance} [By-Law and Policy] Committee will periodically review and ensure the currency of By-laws and governance policies and audit Board practices to monitor compliance.   </w:t>
      </w:r>
    </w:p>
    <w:p w14:paraId="2BB27A8A" w14:textId="22366C9C" w:rsidR="00C27C1C" w:rsidRPr="00C27C1C" w:rsidRDefault="00C27C1C" w:rsidP="005F2D4A">
      <w:pPr>
        <w:pStyle w:val="Heading2"/>
        <w:ind w:firstLine="720"/>
      </w:pPr>
      <w:r w:rsidRPr="00C27C1C">
        <w:t>14.</w:t>
      </w:r>
      <w:r w:rsidRPr="00C27C1C">
        <w:tab/>
        <w:t>NOTICES</w:t>
      </w:r>
    </w:p>
    <w:p w14:paraId="7913C789" w14:textId="77777777" w:rsidR="00C27C1C" w:rsidRPr="00C27C1C" w:rsidRDefault="00C27C1C" w:rsidP="00C27C1C">
      <w:pPr>
        <w:pStyle w:val="Heading3"/>
      </w:pPr>
      <w:r w:rsidRPr="00C27C1C">
        <w:t>14.01</w:t>
      </w:r>
      <w:r w:rsidRPr="00C27C1C">
        <w:tab/>
        <w:t>Notices and Adjournments</w:t>
      </w:r>
    </w:p>
    <w:p w14:paraId="06DAD6F2" w14:textId="39656ACD" w:rsidR="00C27C1C" w:rsidRPr="00C27C1C" w:rsidRDefault="00C27C1C" w:rsidP="00C27C1C">
      <w:pPr>
        <w:ind w:left="720"/>
        <w:rPr>
          <w:rFonts w:ascii="Arial" w:hAnsi="Arial" w:cs="Arial"/>
          <w:sz w:val="24"/>
          <w:szCs w:val="24"/>
        </w:rPr>
      </w:pPr>
      <w:r w:rsidRPr="00C27C1C">
        <w:rPr>
          <w:rFonts w:ascii="Arial" w:hAnsi="Arial" w:cs="Arial"/>
          <w:sz w:val="24"/>
          <w:szCs w:val="24"/>
        </w:rPr>
        <w:t>Any notice to be given pursuant to the Act, the</w:t>
      </w:r>
      <w:r w:rsidR="005F2D4A">
        <w:rPr>
          <w:rFonts w:ascii="Arial" w:hAnsi="Arial" w:cs="Arial"/>
          <w:sz w:val="24"/>
          <w:szCs w:val="24"/>
        </w:rPr>
        <w:t xml:space="preserve"> {Article of Incorporation} [letters patent]</w:t>
      </w:r>
      <w:r w:rsidRPr="00C27C1C">
        <w:rPr>
          <w:rFonts w:ascii="Arial" w:hAnsi="Arial" w:cs="Arial"/>
          <w:sz w:val="24"/>
          <w:szCs w:val="24"/>
        </w:rPr>
        <w:t xml:space="preserve">, the By-law or otherwise to a member, Director, committee member, officer or auditor shall be given, to such person’s last address of record, in an accessible format, either written, printed, or format generated by telephonic or electronic means and completed and signed in writing or electronic signature or on behalf of the person giving or making it. </w:t>
      </w:r>
    </w:p>
    <w:p w14:paraId="1474C547" w14:textId="77777777" w:rsidR="00C27C1C" w:rsidRPr="00C27C1C" w:rsidRDefault="00C27C1C" w:rsidP="00C27C1C">
      <w:pPr>
        <w:ind w:left="720"/>
        <w:rPr>
          <w:rFonts w:ascii="Arial" w:hAnsi="Arial" w:cs="Arial"/>
          <w:sz w:val="24"/>
          <w:szCs w:val="24"/>
        </w:rPr>
      </w:pPr>
    </w:p>
    <w:p w14:paraId="5EC0F395" w14:textId="77777777" w:rsidR="00C27C1C" w:rsidRPr="00C27C1C" w:rsidRDefault="00C27C1C" w:rsidP="00C27C1C">
      <w:pPr>
        <w:ind w:left="720"/>
        <w:rPr>
          <w:rFonts w:ascii="Arial" w:hAnsi="Arial" w:cs="Arial"/>
          <w:sz w:val="24"/>
          <w:szCs w:val="24"/>
        </w:rPr>
      </w:pPr>
      <w:r w:rsidRPr="00C27C1C">
        <w:rPr>
          <w:rFonts w:ascii="Arial" w:hAnsi="Arial" w:cs="Arial"/>
          <w:sz w:val="24"/>
          <w:szCs w:val="24"/>
        </w:rPr>
        <w:t>Further notice of any meeting of the Board, its committees or the annual meeting of the Centre adjourned for less than 30 days is not necessary if the date, time and place of such adjourned meeting has been announced at the meeting which was adjourned and if this has been properly recorded in the minutes of that meeting.  Any business may be transacted at any adjourned meeting that might have been transacted at the original meeting from which the adjournment took place.</w:t>
      </w:r>
    </w:p>
    <w:p w14:paraId="2B4D7D36" w14:textId="77777777" w:rsidR="00C27C1C" w:rsidRPr="00C27C1C" w:rsidRDefault="00C27C1C" w:rsidP="00C27C1C">
      <w:pPr>
        <w:pStyle w:val="Heading2"/>
      </w:pPr>
      <w:r w:rsidRPr="00C27C1C">
        <w:lastRenderedPageBreak/>
        <w:t>19.</w:t>
      </w:r>
      <w:r w:rsidRPr="00C27C1C">
        <w:tab/>
        <w:t xml:space="preserve"> AMENDMENT OF BY-LAWS</w:t>
      </w:r>
    </w:p>
    <w:p w14:paraId="56C9518A" w14:textId="5B0B19F6" w:rsidR="00C27C1C" w:rsidRPr="00C27C1C" w:rsidRDefault="00C27C1C" w:rsidP="00C27C1C">
      <w:pPr>
        <w:ind w:left="709"/>
        <w:rPr>
          <w:rFonts w:ascii="Arial" w:hAnsi="Arial" w:cs="Arial"/>
          <w:sz w:val="24"/>
          <w:szCs w:val="24"/>
        </w:rPr>
      </w:pPr>
      <w:r w:rsidRPr="00C27C1C">
        <w:rPr>
          <w:rStyle w:val="Heading3Char"/>
          <w:rFonts w:ascii="Arial" w:hAnsi="Arial"/>
          <w:sz w:val="24"/>
        </w:rPr>
        <w:t>19.01</w:t>
      </w:r>
      <w:r w:rsidRPr="00C27C1C">
        <w:rPr>
          <w:rFonts w:ascii="Arial" w:hAnsi="Arial" w:cs="Arial"/>
          <w:sz w:val="24"/>
          <w:szCs w:val="24"/>
        </w:rPr>
        <w:tab/>
        <w:t>Unless otherwise provided by the Act, any existing By-law of the Centre not embodied in the</w:t>
      </w:r>
      <w:r w:rsidR="00A0645F">
        <w:rPr>
          <w:rFonts w:ascii="Arial" w:hAnsi="Arial" w:cs="Arial"/>
          <w:sz w:val="24"/>
          <w:szCs w:val="24"/>
        </w:rPr>
        <w:t xml:space="preserve"> {Article of Incorporation} [letters patent] </w:t>
      </w:r>
      <w:r w:rsidRPr="00C27C1C">
        <w:rPr>
          <w:rFonts w:ascii="Arial" w:hAnsi="Arial" w:cs="Arial"/>
          <w:sz w:val="24"/>
          <w:szCs w:val="24"/>
        </w:rPr>
        <w:t xml:space="preserve">may be repealed or amended by resolution of not less than two-thirds (⅔) of the Members of the Centre present in person, or who have delivered a valid proxy in accordance with section </w:t>
      </w:r>
      <w:r w:rsidRPr="00C27C1C">
        <w:rPr>
          <w:rFonts w:ascii="Arial" w:hAnsi="Arial" w:cs="Arial"/>
          <w:b/>
          <w:sz w:val="24"/>
          <w:szCs w:val="24"/>
        </w:rPr>
        <w:t>7.10</w:t>
      </w:r>
      <w:r w:rsidRPr="00C27C1C">
        <w:rPr>
          <w:rFonts w:ascii="Arial" w:hAnsi="Arial" w:cs="Arial"/>
          <w:sz w:val="24"/>
          <w:szCs w:val="24"/>
        </w:rPr>
        <w:t xml:space="preserve"> of By-Law No.1, and entitled to vote at a meeting duly called for that purpose.  Notwithstanding the provisions of any other By-law of the Centre, quorum must still be present at the time the vote is held with respect to any such resolution for amendment of the By-laws.  The By-law amendment shall take effect upon the approval of the said resolution.  </w:t>
      </w:r>
    </w:p>
    <w:p w14:paraId="0449FB92" w14:textId="77777777" w:rsidR="00C27C1C" w:rsidRPr="00C27C1C" w:rsidRDefault="00C27C1C" w:rsidP="00C27C1C">
      <w:pPr>
        <w:ind w:left="720"/>
        <w:rPr>
          <w:rFonts w:ascii="Arial" w:hAnsi="Arial" w:cs="Arial"/>
          <w:sz w:val="24"/>
          <w:szCs w:val="24"/>
        </w:rPr>
      </w:pPr>
    </w:p>
    <w:p w14:paraId="2544BAC0" w14:textId="77777777" w:rsidR="00C27C1C" w:rsidRPr="00C27C1C" w:rsidRDefault="00C27C1C" w:rsidP="00C27C1C">
      <w:pPr>
        <w:rPr>
          <w:rFonts w:ascii="Arial" w:hAnsi="Arial" w:cs="Arial"/>
          <w:sz w:val="24"/>
          <w:szCs w:val="24"/>
        </w:rPr>
      </w:pPr>
    </w:p>
    <w:p w14:paraId="58BD1FC1" w14:textId="6CE870D2" w:rsidR="00C27C1C" w:rsidRPr="00C27C1C" w:rsidRDefault="00C27C1C" w:rsidP="00C27C1C">
      <w:pPr>
        <w:rPr>
          <w:rFonts w:ascii="Arial" w:hAnsi="Arial" w:cs="Arial"/>
          <w:sz w:val="24"/>
          <w:szCs w:val="24"/>
        </w:rPr>
      </w:pPr>
      <w:r w:rsidRPr="00C27C1C">
        <w:rPr>
          <w:rFonts w:ascii="Arial" w:hAnsi="Arial" w:cs="Arial"/>
          <w:sz w:val="24"/>
          <w:szCs w:val="24"/>
        </w:rPr>
        <w:t xml:space="preserve">The above document incorporates amendments passed at Annual General Meetings held in 1981, 1982, 1984, 1985, 1986, 1988, 1989, 1990, 1991, 1995, 1999, 2001, 2002, 2003, 2004, 2009, 2014, 2015, 2016, 2018, 2019, 2020, 2022 </w:t>
      </w:r>
      <w:r w:rsidR="0021193D">
        <w:rPr>
          <w:rFonts w:ascii="Arial" w:hAnsi="Arial" w:cs="Arial"/>
          <w:sz w:val="24"/>
          <w:szCs w:val="24"/>
        </w:rPr>
        <w:t>[</w:t>
      </w:r>
      <w:r w:rsidR="0021193D" w:rsidRPr="0021193D">
        <w:rPr>
          <w:rFonts w:ascii="Arial" w:hAnsi="Arial" w:cs="Arial"/>
          <w:sz w:val="24"/>
          <w:szCs w:val="24"/>
        </w:rPr>
        <w:t>and October 12</w:t>
      </w:r>
      <w:r w:rsidR="0021193D">
        <w:rPr>
          <w:rFonts w:ascii="Arial" w:hAnsi="Arial" w:cs="Arial"/>
          <w:sz w:val="24"/>
          <w:szCs w:val="24"/>
        </w:rPr>
        <w:t>]</w:t>
      </w:r>
      <w:r w:rsidRPr="00C27C1C">
        <w:rPr>
          <w:rFonts w:ascii="Arial" w:hAnsi="Arial" w:cs="Arial"/>
          <w:sz w:val="24"/>
          <w:szCs w:val="24"/>
        </w:rPr>
        <w:t>, 2023</w:t>
      </w:r>
      <w:r w:rsidR="0021193D">
        <w:rPr>
          <w:rFonts w:ascii="Arial" w:hAnsi="Arial" w:cs="Arial"/>
          <w:sz w:val="24"/>
          <w:szCs w:val="24"/>
        </w:rPr>
        <w:t xml:space="preserve"> {and October 2024}</w:t>
      </w:r>
      <w:r w:rsidRPr="00C27C1C">
        <w:rPr>
          <w:rFonts w:ascii="Arial" w:hAnsi="Arial" w:cs="Arial"/>
          <w:sz w:val="24"/>
          <w:szCs w:val="24"/>
        </w:rPr>
        <w:t>.</w:t>
      </w:r>
    </w:p>
    <w:p w14:paraId="6A781E4E" w14:textId="77777777" w:rsidR="00C27C1C" w:rsidRPr="00C27C1C" w:rsidRDefault="00C27C1C" w:rsidP="00C27C1C">
      <w:pPr>
        <w:rPr>
          <w:rFonts w:ascii="Arial" w:hAnsi="Arial" w:cs="Arial"/>
          <w:sz w:val="24"/>
          <w:szCs w:val="24"/>
        </w:rPr>
      </w:pPr>
    </w:p>
    <w:p w14:paraId="63E33E76" w14:textId="77777777" w:rsidR="00FA7465" w:rsidRDefault="00FA7465" w:rsidP="00C27C1C"/>
    <w:sectPr w:rsidR="00FA7465" w:rsidSect="00707C43">
      <w:footerReference w:type="even" r:id="rId8"/>
      <w:footerReference w:type="default" r:id="rId9"/>
      <w:endnotePr>
        <w:numFmt w:val="decimal"/>
      </w:endnotePr>
      <w:pgSz w:w="12240" w:h="15840"/>
      <w:pgMar w:top="1135" w:right="1440" w:bottom="720" w:left="1440" w:header="73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15FC1" w14:textId="77777777" w:rsidR="00AF23CF" w:rsidRDefault="00A04A23">
      <w:r>
        <w:separator/>
      </w:r>
    </w:p>
  </w:endnote>
  <w:endnote w:type="continuationSeparator" w:id="0">
    <w:p w14:paraId="26F34520" w14:textId="77777777" w:rsidR="00AF23CF" w:rsidRDefault="00A0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C2CF" w14:textId="77777777" w:rsidR="008D66DA" w:rsidRDefault="00B13D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1FB55DD6" w14:textId="77777777" w:rsidR="008D66DA" w:rsidRDefault="00617E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50BA" w14:textId="3506625E" w:rsidR="008D66DA" w:rsidRDefault="00B13DA7">
    <w:pPr>
      <w:pStyle w:val="Footer"/>
      <w:framePr w:wrap="around" w:vAnchor="text" w:hAnchor="page" w:x="10513" w:y="157"/>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B565C1">
      <w:rPr>
        <w:rStyle w:val="PageNumber"/>
        <w:rFonts w:ascii="Arial" w:hAnsi="Arial"/>
        <w:noProof/>
      </w:rPr>
      <w:t>1</w:t>
    </w:r>
    <w:r>
      <w:rPr>
        <w:rStyle w:val="PageNumber"/>
        <w:rFonts w:ascii="Arial" w:hAnsi="Arial"/>
      </w:rPr>
      <w:fldChar w:fldCharType="end"/>
    </w:r>
  </w:p>
  <w:p w14:paraId="5099D5C6" w14:textId="77777777" w:rsidR="008D66DA" w:rsidRDefault="00617EE0">
    <w:pPr>
      <w:pStyle w:val="TOAHeading"/>
      <w:tabs>
        <w:tab w:val="clear" w:pos="9360"/>
        <w:tab w:val="left" w:pos="-720"/>
        <w:tab w:val="right" w:pos="9180"/>
      </w:tabs>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8E3CE" w14:textId="77777777" w:rsidR="00AF23CF" w:rsidRDefault="00A04A23">
      <w:r>
        <w:separator/>
      </w:r>
    </w:p>
  </w:footnote>
  <w:footnote w:type="continuationSeparator" w:id="0">
    <w:p w14:paraId="0C2446AA" w14:textId="77777777" w:rsidR="00AF23CF" w:rsidRDefault="00A04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544A"/>
    <w:multiLevelType w:val="hybridMultilevel"/>
    <w:tmpl w:val="6F2692EE"/>
    <w:lvl w:ilvl="0" w:tplc="ECE2360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58EB08E5"/>
    <w:multiLevelType w:val="hybridMultilevel"/>
    <w:tmpl w:val="F71A49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196CAB"/>
    <w:multiLevelType w:val="hybridMultilevel"/>
    <w:tmpl w:val="10640A16"/>
    <w:lvl w:ilvl="0" w:tplc="B9DA564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readOnly" w:formatting="1" w:enforcement="1" w:cryptProviderType="rsaAES" w:cryptAlgorithmClass="hash" w:cryptAlgorithmType="typeAny" w:cryptAlgorithmSid="14" w:cryptSpinCount="100000" w:hash="khHmRYjgzfZeEe2hZZdbIW5+Rq+oldPrtnsZfIdylpXxZLyQ0T9V3jtokQ3cA+CIuPbW3ZkElS76QT8MmvWJqw==" w:salt="i1ourq6zAoZAWW4U5JVReQ=="/>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DB"/>
    <w:rsid w:val="00133C99"/>
    <w:rsid w:val="0021193D"/>
    <w:rsid w:val="00576ED3"/>
    <w:rsid w:val="005F2D4A"/>
    <w:rsid w:val="00617EE0"/>
    <w:rsid w:val="00753DDB"/>
    <w:rsid w:val="00815C06"/>
    <w:rsid w:val="00A035D0"/>
    <w:rsid w:val="00A04A23"/>
    <w:rsid w:val="00A0645F"/>
    <w:rsid w:val="00AF23CF"/>
    <w:rsid w:val="00AF4D3B"/>
    <w:rsid w:val="00B13DA7"/>
    <w:rsid w:val="00B565C1"/>
    <w:rsid w:val="00C27C1C"/>
    <w:rsid w:val="00E62BA0"/>
    <w:rsid w:val="00FA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DCFD"/>
  <w15:chartTrackingRefBased/>
  <w15:docId w15:val="{0D1726A6-F7C4-445A-8C19-F9881C39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DA7"/>
    <w:pPr>
      <w:widowControl w:val="0"/>
      <w:spacing w:after="0" w:line="240" w:lineRule="auto"/>
    </w:pPr>
    <w:rPr>
      <w:rFonts w:ascii="CG Times" w:eastAsia="Times New Roman" w:hAnsi="CG Times" w:cs="Times New Roman"/>
      <w:snapToGrid w:val="0"/>
      <w:sz w:val="20"/>
      <w:szCs w:val="20"/>
    </w:rPr>
  </w:style>
  <w:style w:type="paragraph" w:styleId="Heading1">
    <w:name w:val="heading 1"/>
    <w:basedOn w:val="Normal"/>
    <w:next w:val="Normal"/>
    <w:link w:val="Heading1Char"/>
    <w:uiPriority w:val="9"/>
    <w:qFormat/>
    <w:rsid w:val="00B13DA7"/>
    <w:pPr>
      <w:jc w:val="center"/>
      <w:outlineLvl w:val="0"/>
    </w:pPr>
    <w:rPr>
      <w:rFonts w:ascii="Arial" w:hAnsi="Arial" w:cs="Arial"/>
      <w:b/>
      <w:sz w:val="24"/>
      <w:szCs w:val="24"/>
      <w:u w:val="single"/>
    </w:rPr>
  </w:style>
  <w:style w:type="paragraph" w:styleId="Heading2">
    <w:name w:val="heading 2"/>
    <w:basedOn w:val="Normal"/>
    <w:next w:val="Normal"/>
    <w:link w:val="Heading2Char"/>
    <w:uiPriority w:val="9"/>
    <w:unhideWhenUsed/>
    <w:qFormat/>
    <w:rsid w:val="00B13DA7"/>
    <w:pPr>
      <w:spacing w:before="240" w:after="240"/>
      <w:outlineLvl w:val="1"/>
    </w:pPr>
    <w:rPr>
      <w:rFonts w:ascii="Arial" w:hAnsi="Arial" w:cs="Arial"/>
      <w:b/>
      <w:sz w:val="24"/>
      <w:szCs w:val="24"/>
    </w:rPr>
  </w:style>
  <w:style w:type="paragraph" w:styleId="Heading3">
    <w:name w:val="heading 3"/>
    <w:basedOn w:val="Heading2"/>
    <w:next w:val="Normal"/>
    <w:link w:val="Heading3Char"/>
    <w:uiPriority w:val="9"/>
    <w:unhideWhenUsed/>
    <w:qFormat/>
    <w:rsid w:val="00B13DA7"/>
    <w:pPr>
      <w:ind w:firstLine="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DA7"/>
    <w:rPr>
      <w:rFonts w:eastAsia="Times New Roman" w:cs="Arial"/>
      <w:b/>
      <w:snapToGrid w:val="0"/>
      <w:szCs w:val="24"/>
      <w:u w:val="single"/>
    </w:rPr>
  </w:style>
  <w:style w:type="character" w:customStyle="1" w:styleId="Heading2Char">
    <w:name w:val="Heading 2 Char"/>
    <w:basedOn w:val="DefaultParagraphFont"/>
    <w:link w:val="Heading2"/>
    <w:uiPriority w:val="9"/>
    <w:rsid w:val="00B13DA7"/>
    <w:rPr>
      <w:rFonts w:eastAsia="Times New Roman" w:cs="Arial"/>
      <w:b/>
      <w:snapToGrid w:val="0"/>
      <w:szCs w:val="24"/>
    </w:rPr>
  </w:style>
  <w:style w:type="character" w:customStyle="1" w:styleId="Heading3Char">
    <w:name w:val="Heading 3 Char"/>
    <w:basedOn w:val="DefaultParagraphFont"/>
    <w:link w:val="Heading3"/>
    <w:uiPriority w:val="9"/>
    <w:rsid w:val="00B13DA7"/>
    <w:rPr>
      <w:rFonts w:eastAsia="Times New Roman" w:cs="Arial"/>
      <w:b/>
      <w:snapToGrid w:val="0"/>
      <w:szCs w:val="24"/>
    </w:rPr>
  </w:style>
  <w:style w:type="paragraph" w:styleId="TOAHeading">
    <w:name w:val="toa heading"/>
    <w:basedOn w:val="Normal"/>
    <w:next w:val="Normal"/>
    <w:semiHidden/>
    <w:rsid w:val="00B13DA7"/>
    <w:pPr>
      <w:tabs>
        <w:tab w:val="right" w:pos="9360"/>
      </w:tabs>
      <w:suppressAutoHyphens/>
    </w:pPr>
  </w:style>
  <w:style w:type="paragraph" w:styleId="Footer">
    <w:name w:val="footer"/>
    <w:basedOn w:val="Normal"/>
    <w:link w:val="FooterChar"/>
    <w:rsid w:val="00B13DA7"/>
    <w:pPr>
      <w:tabs>
        <w:tab w:val="center" w:pos="4320"/>
        <w:tab w:val="right" w:pos="8640"/>
      </w:tabs>
    </w:pPr>
  </w:style>
  <w:style w:type="character" w:customStyle="1" w:styleId="FooterChar">
    <w:name w:val="Footer Char"/>
    <w:basedOn w:val="DefaultParagraphFont"/>
    <w:link w:val="Footer"/>
    <w:rsid w:val="00B13DA7"/>
    <w:rPr>
      <w:rFonts w:ascii="CG Times" w:eastAsia="Times New Roman" w:hAnsi="CG Times" w:cs="Times New Roman"/>
      <w:snapToGrid w:val="0"/>
      <w:sz w:val="20"/>
      <w:szCs w:val="20"/>
    </w:rPr>
  </w:style>
  <w:style w:type="character" w:styleId="PageNumber">
    <w:name w:val="page number"/>
    <w:basedOn w:val="DefaultParagraphFont"/>
    <w:rsid w:val="00B13DA7"/>
  </w:style>
  <w:style w:type="character" w:styleId="CommentReference">
    <w:name w:val="annotation reference"/>
    <w:rsid w:val="00B13DA7"/>
    <w:rPr>
      <w:sz w:val="16"/>
      <w:szCs w:val="16"/>
    </w:rPr>
  </w:style>
  <w:style w:type="paragraph" w:styleId="CommentText">
    <w:name w:val="annotation text"/>
    <w:basedOn w:val="Normal"/>
    <w:link w:val="CommentTextChar"/>
    <w:rsid w:val="00B13DA7"/>
  </w:style>
  <w:style w:type="character" w:customStyle="1" w:styleId="CommentTextChar">
    <w:name w:val="Comment Text Char"/>
    <w:basedOn w:val="DefaultParagraphFont"/>
    <w:link w:val="CommentText"/>
    <w:rsid w:val="00B13DA7"/>
    <w:rPr>
      <w:rFonts w:ascii="CG Times" w:eastAsia="Times New Roman" w:hAnsi="CG Times" w:cs="Times New Roman"/>
      <w:snapToGrid w:val="0"/>
      <w:sz w:val="20"/>
      <w:szCs w:val="20"/>
    </w:rPr>
  </w:style>
  <w:style w:type="paragraph" w:styleId="ListParagraph">
    <w:name w:val="List Paragraph"/>
    <w:basedOn w:val="Normal"/>
    <w:uiPriority w:val="34"/>
    <w:qFormat/>
    <w:rsid w:val="00B13DA7"/>
    <w:pPr>
      <w:ind w:left="720"/>
      <w:contextualSpacing/>
    </w:pPr>
  </w:style>
  <w:style w:type="paragraph" w:styleId="BalloonText">
    <w:name w:val="Balloon Text"/>
    <w:basedOn w:val="Normal"/>
    <w:link w:val="BalloonTextChar"/>
    <w:uiPriority w:val="99"/>
    <w:semiHidden/>
    <w:unhideWhenUsed/>
    <w:rsid w:val="00B13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DA7"/>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E1369-915D-4AAB-BF44-B999527E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787</Words>
  <Characters>4488</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Legal Aid Ontario</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Sciberras (ARCH)</dc:creator>
  <cp:keywords/>
  <dc:description/>
  <cp:lastModifiedBy>Theresa Sciberras (ARCH)</cp:lastModifiedBy>
  <cp:revision>13</cp:revision>
  <dcterms:created xsi:type="dcterms:W3CDTF">2024-09-18T15:37:00Z</dcterms:created>
  <dcterms:modified xsi:type="dcterms:W3CDTF">2024-10-02T19:53:00Z</dcterms:modified>
</cp:coreProperties>
</file>